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37A6B8C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19EF1B1">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18106AA4">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项目五  </w:t>
            </w:r>
            <w:r>
              <w:rPr>
                <w:rFonts w:hint="eastAsia" w:ascii="微软雅黑" w:hAnsi="微软雅黑"/>
                <w:b/>
                <w:color w:val="1F4E79"/>
                <w:sz w:val="32"/>
                <w:szCs w:val="30"/>
              </w:rPr>
              <w:t>企业所得税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三</w:t>
            </w:r>
            <w:r>
              <w:rPr>
                <w:rFonts w:hint="eastAsia" w:ascii="微软雅黑" w:hAnsi="微软雅黑"/>
                <w:b/>
                <w:color w:val="1F4E79"/>
                <w:sz w:val="32"/>
                <w:szCs w:val="30"/>
              </w:rPr>
              <w:t>）</w:t>
            </w:r>
          </w:p>
        </w:tc>
      </w:tr>
      <w:tr w14:paraId="5076DDC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1CF95A4">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505382B1">
            <w:pPr>
              <w:pStyle w:val="4"/>
              <w:ind w:firstLine="180" w:firstLineChars="100"/>
            </w:pPr>
            <w:r>
              <w:t>2课时</w:t>
            </w:r>
            <w:r>
              <w:rPr>
                <w:rFonts w:hint="eastAsia"/>
              </w:rPr>
              <w:t>（</w:t>
            </w:r>
            <w:r>
              <w:t>90</w:t>
            </w:r>
            <w:r>
              <w:rPr>
                <w:rFonts w:hint="eastAsia"/>
              </w:rPr>
              <w:t xml:space="preserve"> min）</w:t>
            </w:r>
          </w:p>
        </w:tc>
      </w:tr>
      <w:tr w14:paraId="2F86A1A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4F1BE5F7">
            <w:pPr>
              <w:pStyle w:val="4"/>
              <w:jc w:val="center"/>
            </w:pPr>
            <w:r>
              <w:rPr>
                <w:rFonts w:ascii="微软雅黑" w:hAnsi="微软雅黑"/>
                <w:b/>
              </w:rPr>
              <w:t>教学目标</w:t>
            </w:r>
          </w:p>
        </w:tc>
        <w:tc>
          <w:tcPr>
            <w:tcW w:w="8347" w:type="dxa"/>
            <w:shd w:val="clear" w:color="auto" w:fill="FFFFFF"/>
            <w:vAlign w:val="center"/>
          </w:tcPr>
          <w:p w14:paraId="7D8C5E9C">
            <w:pPr>
              <w:pStyle w:val="4"/>
              <w:ind w:firstLine="180" w:firstLineChars="100"/>
              <w:rPr>
                <w:rFonts w:ascii="微软雅黑" w:hAnsi="微软雅黑"/>
                <w:b/>
                <w:color w:val="833C0B"/>
              </w:rPr>
            </w:pPr>
            <w:r>
              <w:rPr>
                <w:rFonts w:hint="eastAsia" w:ascii="微软雅黑" w:hAnsi="微软雅黑"/>
                <w:b/>
                <w:color w:val="833C0B"/>
              </w:rPr>
              <w:t>知识技能目标：</w:t>
            </w:r>
          </w:p>
          <w:p w14:paraId="4E2D9CAA">
            <w:pPr>
              <w:pStyle w:val="4"/>
              <w:ind w:firstLine="360" w:firstLineChars="200"/>
            </w:pPr>
            <w:r>
              <w:rPr>
                <w:rFonts w:hint="eastAsia"/>
              </w:rPr>
              <w:t>（1）掌握居民企业应税</w:t>
            </w:r>
            <w:r>
              <w:rPr>
                <w:rFonts w:hint="eastAsia"/>
                <w:lang w:val="en-US" w:eastAsia="zh-CN"/>
              </w:rPr>
              <w:t>所得</w:t>
            </w:r>
            <w:r>
              <w:rPr>
                <w:rFonts w:hint="eastAsia"/>
              </w:rPr>
              <w:t>额</w:t>
            </w:r>
            <w:r>
              <w:rPr>
                <w:rFonts w:hint="eastAsia"/>
                <w:lang w:eastAsia="zh-CN"/>
              </w:rPr>
              <w:t>（</w:t>
            </w:r>
            <w:r>
              <w:rPr>
                <w:rFonts w:hint="eastAsia"/>
                <w:lang w:val="en-US" w:eastAsia="zh-CN"/>
              </w:rPr>
              <w:t>间接法</w:t>
            </w:r>
            <w:r>
              <w:rPr>
                <w:rFonts w:hint="eastAsia"/>
                <w:lang w:eastAsia="zh-CN"/>
              </w:rPr>
              <w:t>）</w:t>
            </w:r>
            <w:r>
              <w:rPr>
                <w:rFonts w:hint="eastAsia"/>
              </w:rPr>
              <w:t>的计算方法。</w:t>
            </w:r>
          </w:p>
          <w:p w14:paraId="4CEB896C">
            <w:pPr>
              <w:pStyle w:val="4"/>
              <w:ind w:firstLine="360" w:firstLineChars="200"/>
              <w:rPr>
                <w:rFonts w:hint="eastAsia"/>
              </w:rPr>
            </w:pPr>
            <w:r>
              <w:rPr>
                <w:rFonts w:hint="eastAsia"/>
              </w:rPr>
              <w:t>（2）掌握</w:t>
            </w:r>
            <w:r>
              <w:rPr>
                <w:rFonts w:hint="eastAsia"/>
                <w:lang w:val="en-US" w:eastAsia="zh-CN"/>
              </w:rPr>
              <w:t>资产的税务处理</w:t>
            </w:r>
          </w:p>
          <w:p w14:paraId="56359DAD">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3F29ED64">
            <w:pPr>
              <w:pStyle w:val="4"/>
              <w:ind w:firstLine="360" w:firstLineChars="200"/>
            </w:pPr>
            <w:r>
              <w:rPr>
                <w:rFonts w:hint="eastAsia"/>
              </w:rPr>
              <w:t>（1）坚持原则、廉洁奉公。</w:t>
            </w:r>
          </w:p>
          <w:p w14:paraId="32C32977">
            <w:pPr>
              <w:pStyle w:val="4"/>
              <w:ind w:firstLine="360" w:firstLineChars="200"/>
            </w:pPr>
            <w:r>
              <w:rPr>
                <w:rFonts w:hint="eastAsia"/>
              </w:rPr>
              <w:t>（2）依法、合规地维护企业的正当权益。</w:t>
            </w:r>
          </w:p>
        </w:tc>
      </w:tr>
      <w:tr w14:paraId="0877BD5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5DC27D30">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24C71850">
            <w:pPr>
              <w:pStyle w:val="4"/>
              <w:ind w:firstLine="180" w:firstLineChars="100"/>
              <w:rPr>
                <w:rFonts w:hint="default" w:eastAsia="微软雅黑"/>
                <w:lang w:val="en-US" w:eastAsia="zh-CN"/>
              </w:rPr>
            </w:pPr>
            <w:r>
              <w:rPr>
                <w:rFonts w:hint="eastAsia" w:ascii="微软雅黑" w:hAnsi="微软雅黑"/>
                <w:b/>
                <w:color w:val="1F4E79"/>
              </w:rPr>
              <w:t>教学重点：</w:t>
            </w:r>
            <w:r>
              <w:rPr>
                <w:rFonts w:hint="eastAsia"/>
                <w:lang w:val="en-US" w:eastAsia="zh-CN"/>
              </w:rPr>
              <w:t>间接法计算应税所得额、资产的税务处理</w:t>
            </w:r>
          </w:p>
          <w:p w14:paraId="5B2D4589">
            <w:pPr>
              <w:pStyle w:val="4"/>
              <w:ind w:firstLine="180" w:firstLineChars="100"/>
            </w:pPr>
            <w:r>
              <w:rPr>
                <w:rFonts w:hint="eastAsia" w:ascii="微软雅黑" w:hAnsi="微软雅黑"/>
                <w:b/>
                <w:color w:val="1F4E79"/>
              </w:rPr>
              <w:t>教学难点：</w:t>
            </w:r>
            <w:r>
              <w:rPr>
                <w:rFonts w:hint="eastAsia"/>
                <w:lang w:val="en-US" w:eastAsia="zh-CN"/>
              </w:rPr>
              <w:t>间接法计算应税所得额</w:t>
            </w:r>
          </w:p>
        </w:tc>
      </w:tr>
      <w:tr w14:paraId="2EE5BD2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016A2DC">
            <w:pPr>
              <w:pStyle w:val="4"/>
              <w:jc w:val="center"/>
            </w:pPr>
            <w:r>
              <w:rPr>
                <w:rFonts w:ascii="微软雅黑" w:hAnsi="微软雅黑"/>
                <w:b/>
              </w:rPr>
              <w:t>教学方法</w:t>
            </w:r>
          </w:p>
        </w:tc>
        <w:tc>
          <w:tcPr>
            <w:tcW w:w="8347" w:type="dxa"/>
            <w:shd w:val="clear" w:color="auto" w:fill="FFFFFF"/>
            <w:vAlign w:val="center"/>
          </w:tcPr>
          <w:p w14:paraId="2CB29A73">
            <w:pPr>
              <w:pStyle w:val="4"/>
              <w:ind w:firstLine="180" w:firstLineChars="100"/>
            </w:pPr>
            <w:r>
              <w:rPr>
                <w:rFonts w:hint="eastAsia"/>
              </w:rPr>
              <w:t>案例分析法、问答法、讨论法、讲授法</w:t>
            </w:r>
          </w:p>
        </w:tc>
      </w:tr>
      <w:tr w14:paraId="0EAB472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18200E4">
            <w:pPr>
              <w:pStyle w:val="4"/>
              <w:jc w:val="center"/>
            </w:pPr>
            <w:r>
              <w:rPr>
                <w:rFonts w:ascii="微软雅黑" w:hAnsi="微软雅黑"/>
                <w:b/>
              </w:rPr>
              <w:t>教学用具</w:t>
            </w:r>
          </w:p>
        </w:tc>
        <w:tc>
          <w:tcPr>
            <w:tcW w:w="8347" w:type="dxa"/>
            <w:shd w:val="clear" w:color="auto" w:fill="FFFFFF"/>
            <w:vAlign w:val="center"/>
          </w:tcPr>
          <w:p w14:paraId="1286ACB7">
            <w:pPr>
              <w:pStyle w:val="4"/>
              <w:ind w:firstLine="180" w:firstLineChars="100"/>
            </w:pPr>
            <w:r>
              <w:rPr>
                <w:rFonts w:hint="eastAsia"/>
              </w:rPr>
              <w:t>电脑、投影仪、</w:t>
            </w:r>
            <w:r>
              <w:t>多媒体</w:t>
            </w:r>
            <w:r>
              <w:rPr>
                <w:rFonts w:hint="eastAsia"/>
              </w:rPr>
              <w:t>课件、教材</w:t>
            </w:r>
          </w:p>
        </w:tc>
      </w:tr>
      <w:tr w14:paraId="0047270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B55ED5C">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654B641A">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EF4B3C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187B6AF">
            <w:pPr>
              <w:pStyle w:val="4"/>
              <w:jc w:val="center"/>
              <w:rPr>
                <w:rFonts w:ascii="微软雅黑" w:hAnsi="微软雅黑"/>
                <w:b/>
              </w:rPr>
            </w:pPr>
            <w:r>
              <w:rPr>
                <w:rFonts w:hint="eastAsia" w:ascii="微软雅黑" w:hAnsi="微软雅黑"/>
                <w:b/>
                <w:lang w:val="en-US" w:eastAsia="zh-CN"/>
              </w:rPr>
              <w:t>问题</w:t>
            </w:r>
            <w:r>
              <w:rPr>
                <w:rFonts w:ascii="微软雅黑" w:hAnsi="微软雅黑"/>
                <w:b/>
              </w:rPr>
              <w:t>导入</w:t>
            </w:r>
          </w:p>
        </w:tc>
        <w:tc>
          <w:tcPr>
            <w:tcW w:w="8347" w:type="dxa"/>
            <w:shd w:val="clear" w:color="auto" w:fill="FFFFFF"/>
            <w:vAlign w:val="center"/>
          </w:tcPr>
          <w:p w14:paraId="0A1E384A">
            <w:pPr>
              <w:pStyle w:val="4"/>
              <w:ind w:firstLine="180" w:firstLineChars="100"/>
              <w:rPr>
                <w:rFonts w:hint="eastAsia" w:ascii="微软雅黑" w:hAnsi="微软雅黑" w:eastAsia="微软雅黑"/>
                <w:kern w:val="2"/>
                <w:szCs w:val="18"/>
                <w:lang w:val="en-US" w:eastAsia="zh-CN"/>
              </w:rPr>
            </w:pPr>
            <w:r>
              <w:rPr>
                <w:rFonts w:hint="eastAsia" w:ascii="微软雅黑" w:hAnsi="微软雅黑"/>
                <w:b/>
                <w:color w:val="1F4E79"/>
              </w:rPr>
              <w:t>【教师】</w:t>
            </w:r>
            <w:r>
              <w:rPr>
                <w:rFonts w:hint="eastAsia" w:ascii="微软雅黑" w:hAnsi="微软雅黑"/>
                <w:b/>
                <w:color w:val="1F4E79"/>
                <w:lang w:val="en-US" w:eastAsia="zh-CN"/>
              </w:rPr>
              <w:t>教师提问</w:t>
            </w:r>
          </w:p>
          <w:p w14:paraId="3902D2B4">
            <w:pPr>
              <w:pStyle w:val="4"/>
              <w:ind w:firstLine="164" w:firstLineChars="100"/>
              <w:rPr>
                <w:rFonts w:hint="eastAsia" w:eastAsia="微软雅黑"/>
                <w:lang w:eastAsia="zh-CN"/>
              </w:rPr>
            </w:pPr>
            <w:r>
              <w:rPr>
                <w:rFonts w:hint="eastAsia" w:ascii="微软雅黑" w:hAnsi="微软雅黑"/>
                <w:b/>
                <w:color w:val="833C0B"/>
                <w:spacing w:val="-8"/>
              </w:rPr>
              <w:t>【学生】思考、</w:t>
            </w:r>
            <w:r>
              <w:rPr>
                <w:rFonts w:hint="eastAsia" w:ascii="微软雅黑" w:hAnsi="微软雅黑"/>
                <w:b/>
                <w:color w:val="833C0B"/>
                <w:spacing w:val="-8"/>
                <w:lang w:val="en-US" w:eastAsia="zh-CN"/>
              </w:rPr>
              <w:t>回答</w:t>
            </w:r>
          </w:p>
        </w:tc>
      </w:tr>
      <w:tr w14:paraId="1B24AA0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4102A55A">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C293552">
            <w:pPr>
              <w:pStyle w:val="4"/>
              <w:ind w:firstLine="180" w:firstLineChars="100"/>
              <w:rPr>
                <w:b/>
                <w:lang w:bidi="ar"/>
              </w:rPr>
            </w:pPr>
            <w:r>
              <w:rPr>
                <w:rFonts w:hint="eastAsia" w:ascii="微软雅黑" w:hAnsi="微软雅黑"/>
                <w:b/>
                <w:color w:val="1F4E79"/>
              </w:rPr>
              <w:t>【教师】通过学生</w:t>
            </w:r>
            <w:r>
              <w:rPr>
                <w:rFonts w:hint="eastAsia" w:ascii="微软雅黑" w:hAnsi="微软雅黑"/>
                <w:b/>
                <w:color w:val="1F4E79"/>
                <w:lang w:val="en-US" w:eastAsia="zh-CN"/>
              </w:rPr>
              <w:t>回答</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p>
          <w:p w14:paraId="46C74FD2">
            <w:pPr>
              <w:pStyle w:val="4"/>
              <w:numPr>
                <w:ilvl w:val="0"/>
                <w:numId w:val="0"/>
              </w:numPr>
              <w:ind w:left="360" w:leftChars="0"/>
              <w:jc w:val="center"/>
              <w:rPr>
                <w:rFonts w:hint="default" w:eastAsia="微软雅黑"/>
                <w:b/>
                <w:lang w:val="en-US" w:eastAsia="zh-CN" w:bidi="ar"/>
              </w:rPr>
            </w:pPr>
            <w:bookmarkStart w:id="0" w:name="_GoBack"/>
            <w:r>
              <w:rPr>
                <w:rFonts w:hint="eastAsia"/>
                <w:b/>
                <w:lang w:val="en-US" w:eastAsia="zh-CN" w:bidi="ar"/>
              </w:rPr>
              <w:t>任务三   资产的税务处理</w:t>
            </w:r>
          </w:p>
          <w:bookmarkEnd w:id="0"/>
          <w:p w14:paraId="2E453BC7">
            <w:pPr>
              <w:pStyle w:val="4"/>
              <w:numPr>
                <w:ilvl w:val="0"/>
                <w:numId w:val="0"/>
              </w:numPr>
              <w:ind w:left="360" w:leftChars="0"/>
              <w:rPr>
                <w:b/>
                <w:lang w:bidi="ar"/>
              </w:rPr>
            </w:pPr>
            <w:r>
              <w:rPr>
                <w:rFonts w:hint="eastAsia"/>
                <w:b/>
                <w:lang w:bidi="ar"/>
              </w:rPr>
              <w:t>间接计算法</w:t>
            </w:r>
          </w:p>
          <w:p w14:paraId="01EBE86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【教师】讲解企业所得税中居民企业应纳税额的间接计算法</w:t>
            </w:r>
          </w:p>
          <w:p w14:paraId="73CB8219">
            <w:pPr>
              <w:pStyle w:val="4"/>
              <w:ind w:firstLine="360" w:firstLineChars="200"/>
              <w:rPr>
                <w:lang w:bidi="ar"/>
              </w:rPr>
            </w:pPr>
            <w:r>
              <w:rPr>
                <w:rFonts w:hint="eastAsia"/>
                <w:lang w:bidi="ar"/>
              </w:rPr>
              <w:t>在间接计算法下，应纳税所得额的计算公式如下：</w:t>
            </w:r>
          </w:p>
          <w:p w14:paraId="04BEC2B3">
            <w:pPr>
              <w:pStyle w:val="4"/>
              <w:ind w:firstLine="360" w:firstLineChars="200"/>
              <w:jc w:val="center"/>
              <w:rPr>
                <w:lang w:bidi="ar"/>
              </w:rPr>
            </w:pPr>
            <w:r>
              <w:rPr>
                <w:rFonts w:hint="eastAsia"/>
                <w:lang w:bidi="ar"/>
              </w:rPr>
              <w:t>应纳税所得额=会计利润总额±纳税调整项目金额</w:t>
            </w:r>
          </w:p>
          <w:p w14:paraId="4C4E0C04">
            <w:pPr>
              <w:pStyle w:val="4"/>
              <w:ind w:firstLine="360" w:firstLineChars="200"/>
              <w:rPr>
                <w:lang w:bidi="ar"/>
              </w:rPr>
            </w:pPr>
            <w:r>
              <w:rPr>
                <w:rFonts w:hint="eastAsia"/>
                <w:lang w:bidi="ar"/>
              </w:rPr>
              <w:t>纳税调整项目金额是指税法规定范围及扣除标准与会计准则规定不一致时应予以调整的金额。常见的需要进行纳税调整的项目包括以下几项。</w:t>
            </w:r>
          </w:p>
          <w:p w14:paraId="64E46F85">
            <w:pPr>
              <w:pStyle w:val="4"/>
              <w:ind w:firstLine="360" w:firstLineChars="200"/>
              <w:rPr>
                <w:rFonts w:hint="default" w:eastAsia="微软雅黑"/>
                <w:b/>
                <w:bCs/>
                <w:lang w:val="en-US" w:eastAsia="zh-CN" w:bidi="ar"/>
              </w:rPr>
            </w:pPr>
            <w:r>
              <w:rPr>
                <w:rFonts w:hint="eastAsia"/>
                <w:b/>
                <w:bCs/>
                <w:lang w:val="en-US" w:eastAsia="zh-CN" w:bidi="ar"/>
              </w:rPr>
              <w:t>一、</w:t>
            </w:r>
            <w:r>
              <w:rPr>
                <w:rFonts w:hint="eastAsia"/>
                <w:b/>
                <w:bCs/>
                <w:lang w:bidi="ar"/>
              </w:rPr>
              <w:t>固定资产</w:t>
            </w:r>
            <w:r>
              <w:rPr>
                <w:rFonts w:hint="eastAsia"/>
                <w:b/>
                <w:bCs/>
                <w:lang w:val="en-US" w:eastAsia="zh-CN" w:bidi="ar"/>
              </w:rPr>
              <w:t>的税务处理</w:t>
            </w:r>
          </w:p>
          <w:p w14:paraId="1E027A66">
            <w:pPr>
              <w:pStyle w:val="4"/>
              <w:ind w:firstLine="360" w:firstLineChars="200"/>
              <w:rPr>
                <w:lang w:bidi="ar"/>
              </w:rPr>
            </w:pPr>
            <w:r>
              <w:rPr>
                <w:rFonts w:hint="eastAsia"/>
                <w:lang w:bidi="ar"/>
              </w:rPr>
              <w:t>企业以各种方式取得的固定资产，在初始确认时，其入账价值一般等于计税基础；在后续计量过程中，由于会计准则规定与税法规定在累计折旧及减值准备的计提等方面的处理方式不同，其账面价值和计税基础会产生差异。</w:t>
            </w:r>
          </w:p>
          <w:p w14:paraId="66D7710A">
            <w:pPr>
              <w:pStyle w:val="4"/>
              <w:ind w:firstLine="360" w:firstLineChars="200"/>
              <w:rPr>
                <w:lang w:bidi="ar"/>
              </w:rPr>
            </w:pPr>
            <w:r>
              <w:rPr>
                <w:rFonts w:hint="eastAsia"/>
                <w:lang w:bidi="ar"/>
              </w:rPr>
              <w:t>固定资产在后续计量过程中账面价值与计税基础产生差异的原因具体如表3-4所示。</w:t>
            </w:r>
          </w:p>
          <w:p w14:paraId="5D1492F6">
            <w:pPr>
              <w:pStyle w:val="4"/>
              <w:ind w:firstLine="360" w:firstLineChars="200"/>
              <w:jc w:val="center"/>
              <w:rPr>
                <w:lang w:bidi="ar"/>
              </w:rPr>
            </w:pPr>
            <w:r>
              <w:rPr>
                <w:rFonts w:hint="eastAsia"/>
                <w:lang w:bidi="ar"/>
              </w:rPr>
              <w:t>表3-4  固定资产在后续计量过程中账面价值与计税基础产生差异的原因</w:t>
            </w:r>
          </w:p>
          <w:tbl>
            <w:tblPr>
              <w:tblStyle w:val="2"/>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981"/>
              <w:gridCol w:w="2831"/>
            </w:tblGrid>
            <w:tr w14:paraId="2CAD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01" w:type="dxa"/>
                  <w:shd w:val="clear" w:color="auto" w:fill="DAE3F4" w:themeFill="accent1" w:themeFillTint="33"/>
                  <w:vAlign w:val="center"/>
                </w:tcPr>
                <w:p w14:paraId="401F0269">
                  <w:pPr>
                    <w:pStyle w:val="4"/>
                    <w:jc w:val="center"/>
                  </w:pPr>
                  <w:r>
                    <w:rPr>
                      <w:rFonts w:hint="eastAsia"/>
                    </w:rPr>
                    <w:t>原因</w:t>
                  </w:r>
                </w:p>
              </w:tc>
              <w:tc>
                <w:tcPr>
                  <w:tcW w:w="2981" w:type="dxa"/>
                  <w:shd w:val="clear" w:color="auto" w:fill="DAE3F4" w:themeFill="accent1" w:themeFillTint="33"/>
                  <w:vAlign w:val="center"/>
                </w:tcPr>
                <w:p w14:paraId="29453C46">
                  <w:pPr>
                    <w:pStyle w:val="4"/>
                    <w:jc w:val="center"/>
                  </w:pPr>
                  <w:r>
                    <w:rPr>
                      <w:rFonts w:hint="eastAsia"/>
                    </w:rPr>
                    <w:t>会计准则规定</w:t>
                  </w:r>
                </w:p>
              </w:tc>
              <w:tc>
                <w:tcPr>
                  <w:tcW w:w="2831" w:type="dxa"/>
                  <w:shd w:val="clear" w:color="auto" w:fill="DAE3F4" w:themeFill="accent1" w:themeFillTint="33"/>
                  <w:vAlign w:val="center"/>
                </w:tcPr>
                <w:p w14:paraId="7BE6A1BC">
                  <w:pPr>
                    <w:pStyle w:val="4"/>
                    <w:jc w:val="center"/>
                  </w:pPr>
                  <w:r>
                    <w:rPr>
                      <w:rFonts w:hint="eastAsia"/>
                    </w:rPr>
                    <w:t>税法规定</w:t>
                  </w:r>
                </w:p>
              </w:tc>
            </w:tr>
            <w:tr w14:paraId="08AC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1" w:type="dxa"/>
                  <w:shd w:val="clear" w:color="auto" w:fill="auto"/>
                  <w:vAlign w:val="center"/>
                </w:tcPr>
                <w:p w14:paraId="18FD104F">
                  <w:pPr>
                    <w:pStyle w:val="4"/>
                    <w:jc w:val="center"/>
                  </w:pPr>
                  <w:r>
                    <w:rPr>
                      <w:rFonts w:hint="eastAsia"/>
                    </w:rPr>
                    <w:t>折旧方法</w:t>
                  </w:r>
                </w:p>
              </w:tc>
              <w:tc>
                <w:tcPr>
                  <w:tcW w:w="2981" w:type="dxa"/>
                  <w:shd w:val="clear" w:color="auto" w:fill="auto"/>
                  <w:vAlign w:val="center"/>
                </w:tcPr>
                <w:p w14:paraId="2856D804">
                  <w:pPr>
                    <w:pStyle w:val="4"/>
                    <w:ind w:firstLine="180" w:firstLineChars="100"/>
                  </w:pPr>
                  <w:r>
                    <w:rPr>
                      <w:rFonts w:hint="eastAsia"/>
                    </w:rPr>
                    <w:t>企业可以根据与固定资产有关的经济利益的预期实现方式合理选择折旧方法，如直线法、双倍余额递减法、年数总和法等</w:t>
                  </w:r>
                </w:p>
              </w:tc>
              <w:tc>
                <w:tcPr>
                  <w:tcW w:w="2831" w:type="dxa"/>
                  <w:shd w:val="clear" w:color="auto" w:fill="auto"/>
                  <w:vAlign w:val="center"/>
                </w:tcPr>
                <w:p w14:paraId="26F09A20">
                  <w:pPr>
                    <w:pStyle w:val="4"/>
                    <w:ind w:firstLine="180" w:firstLineChars="100"/>
                  </w:pPr>
                  <w:r>
                    <w:rPr>
                      <w:rFonts w:hint="eastAsia"/>
                    </w:rPr>
                    <w:t>除某些按照规定可以加速折旧的情况外，可以税前扣除的是按照直线法计提的折旧</w:t>
                  </w:r>
                </w:p>
              </w:tc>
            </w:tr>
            <w:tr w14:paraId="46D2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1" w:type="dxa"/>
                  <w:shd w:val="clear" w:color="auto" w:fill="auto"/>
                  <w:vAlign w:val="center"/>
                </w:tcPr>
                <w:p w14:paraId="2F55C37A">
                  <w:pPr>
                    <w:pStyle w:val="4"/>
                    <w:jc w:val="center"/>
                  </w:pPr>
                  <w:r>
                    <w:rPr>
                      <w:rFonts w:hint="eastAsia"/>
                    </w:rPr>
                    <w:t>折旧年限</w:t>
                  </w:r>
                </w:p>
              </w:tc>
              <w:tc>
                <w:tcPr>
                  <w:tcW w:w="2981" w:type="dxa"/>
                  <w:shd w:val="clear" w:color="auto" w:fill="auto"/>
                  <w:vAlign w:val="center"/>
                </w:tcPr>
                <w:p w14:paraId="55D25DC9">
                  <w:pPr>
                    <w:pStyle w:val="4"/>
                    <w:ind w:firstLine="180" w:firstLineChars="100"/>
                  </w:pPr>
                  <w:r>
                    <w:rPr>
                      <w:rFonts w:hint="eastAsia"/>
                    </w:rPr>
                    <w:t>企业可以根据固定资产的性质和使用情况合理确定折旧年限</w:t>
                  </w:r>
                </w:p>
              </w:tc>
              <w:tc>
                <w:tcPr>
                  <w:tcW w:w="2831" w:type="dxa"/>
                  <w:shd w:val="clear" w:color="auto" w:fill="auto"/>
                  <w:vAlign w:val="center"/>
                </w:tcPr>
                <w:p w14:paraId="70058638">
                  <w:pPr>
                    <w:pStyle w:val="4"/>
                    <w:ind w:firstLine="180" w:firstLineChars="100"/>
                  </w:pPr>
                  <w:r>
                    <w:rPr>
                      <w:rFonts w:hint="eastAsia"/>
                    </w:rPr>
                    <w:t>除国务院财政、税务主管部门另有规定外，固定资产计算折旧的最低年限如下：</w:t>
                  </w:r>
                </w:p>
                <w:p w14:paraId="3D958658">
                  <w:pPr>
                    <w:pStyle w:val="4"/>
                    <w:spacing w:before="0" w:after="0"/>
                    <w:ind w:firstLine="180" w:firstLineChars="100"/>
                  </w:pPr>
                  <w:r>
                    <w:rPr>
                      <w:rFonts w:hint="eastAsia"/>
                    </w:rPr>
                    <w:t>（1）房屋、建筑物，为20年。</w:t>
                  </w:r>
                </w:p>
                <w:p w14:paraId="043D0D39">
                  <w:pPr>
                    <w:pStyle w:val="4"/>
                    <w:spacing w:before="0" w:after="0"/>
                    <w:ind w:firstLine="180" w:firstLineChars="100"/>
                  </w:pPr>
                  <w:r>
                    <w:rPr>
                      <w:rFonts w:hint="eastAsia"/>
                    </w:rPr>
                    <w:t>（2）飞机、火车、轮船、机器、机械和其他生产设备，为10年。</w:t>
                  </w:r>
                </w:p>
                <w:p w14:paraId="27598BD1">
                  <w:pPr>
                    <w:pStyle w:val="4"/>
                    <w:spacing w:before="0" w:after="0"/>
                    <w:ind w:firstLine="180" w:firstLineChars="100"/>
                  </w:pPr>
                  <w:r>
                    <w:rPr>
                      <w:rFonts w:hint="eastAsia"/>
                    </w:rPr>
                    <w:t>（3）与生产经营活动有关的器具、工具、家具等，为5年。</w:t>
                  </w:r>
                </w:p>
                <w:p w14:paraId="229FE6C4">
                  <w:pPr>
                    <w:pStyle w:val="4"/>
                    <w:spacing w:before="0" w:after="0"/>
                    <w:ind w:firstLine="180" w:firstLineChars="100"/>
                  </w:pPr>
                  <w:r>
                    <w:rPr>
                      <w:rFonts w:hint="eastAsia"/>
                    </w:rPr>
                    <w:t>（4）飞机、火车、轮船以外的运输工具，为4年。</w:t>
                  </w:r>
                </w:p>
                <w:p w14:paraId="5779DE5D">
                  <w:pPr>
                    <w:pStyle w:val="4"/>
                    <w:spacing w:before="0"/>
                    <w:ind w:firstLine="180" w:firstLineChars="100"/>
                  </w:pPr>
                  <w:r>
                    <w:rPr>
                      <w:rFonts w:hint="eastAsia"/>
                    </w:rPr>
                    <w:t>（5）电子设备，为3年</w:t>
                  </w:r>
                </w:p>
              </w:tc>
            </w:tr>
            <w:tr w14:paraId="6FED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1" w:type="dxa"/>
                  <w:shd w:val="clear" w:color="auto" w:fill="auto"/>
                  <w:vAlign w:val="center"/>
                </w:tcPr>
                <w:p w14:paraId="549924AC">
                  <w:pPr>
                    <w:pStyle w:val="4"/>
                    <w:jc w:val="center"/>
                  </w:pPr>
                  <w:r>
                    <w:rPr>
                      <w:rFonts w:hint="eastAsia"/>
                    </w:rPr>
                    <w:t>计提减值准备</w:t>
                  </w:r>
                </w:p>
              </w:tc>
              <w:tc>
                <w:tcPr>
                  <w:tcW w:w="2981" w:type="dxa"/>
                  <w:shd w:val="clear" w:color="auto" w:fill="auto"/>
                  <w:vAlign w:val="center"/>
                </w:tcPr>
                <w:p w14:paraId="0D8E3356">
                  <w:pPr>
                    <w:pStyle w:val="4"/>
                    <w:ind w:firstLine="180" w:firstLineChars="100"/>
                  </w:pPr>
                  <w:r>
                    <w:rPr>
                      <w:rFonts w:hint="eastAsia"/>
                    </w:rPr>
                    <w:t>企业可以计提固定资产减值准备，计提减值准备后的固定资产账面价值减少</w:t>
                  </w:r>
                </w:p>
              </w:tc>
              <w:tc>
                <w:tcPr>
                  <w:tcW w:w="2831" w:type="dxa"/>
                  <w:shd w:val="clear" w:color="auto" w:fill="auto"/>
                  <w:vAlign w:val="center"/>
                </w:tcPr>
                <w:p w14:paraId="20093DF3">
                  <w:pPr>
                    <w:pStyle w:val="4"/>
                    <w:ind w:firstLine="180" w:firstLineChars="100"/>
                  </w:pPr>
                  <w:r>
                    <w:rPr>
                      <w:rFonts w:hint="eastAsia"/>
                    </w:rPr>
                    <w:t>计提的减值准备不允许税前扣除，计税基础不会随减值准备的计提发生变化</w:t>
                  </w:r>
                </w:p>
              </w:tc>
            </w:tr>
          </w:tbl>
          <w:p w14:paraId="5F4FA93C">
            <w:pPr>
              <w:pStyle w:val="4"/>
              <w:ind w:firstLine="360" w:firstLineChars="200"/>
              <w:rPr>
                <w:rFonts w:hint="default" w:eastAsia="微软雅黑"/>
                <w:b/>
                <w:bCs/>
                <w:lang w:val="en-US" w:eastAsia="zh-CN" w:bidi="ar"/>
              </w:rPr>
            </w:pPr>
            <w:r>
              <w:rPr>
                <w:rFonts w:hint="eastAsia"/>
                <w:b/>
                <w:bCs/>
                <w:lang w:val="en-US" w:eastAsia="zh-CN" w:bidi="ar"/>
              </w:rPr>
              <w:t>二、</w:t>
            </w:r>
            <w:r>
              <w:rPr>
                <w:rFonts w:hint="eastAsia"/>
                <w:b/>
                <w:bCs/>
                <w:lang w:bidi="ar"/>
              </w:rPr>
              <w:t>无形资产</w:t>
            </w:r>
            <w:r>
              <w:rPr>
                <w:rFonts w:hint="eastAsia"/>
                <w:b/>
                <w:bCs/>
                <w:lang w:val="en-US" w:eastAsia="zh-CN" w:bidi="ar"/>
              </w:rPr>
              <w:t>的税务处理</w:t>
            </w:r>
          </w:p>
          <w:p w14:paraId="3E76FFC9">
            <w:pPr>
              <w:pStyle w:val="4"/>
              <w:ind w:firstLine="360" w:firstLineChars="200"/>
              <w:rPr>
                <w:lang w:bidi="ar"/>
              </w:rPr>
            </w:pPr>
            <w:r>
              <w:rPr>
                <w:rFonts w:hint="eastAsia"/>
                <w:lang w:bidi="ar"/>
              </w:rPr>
              <w:t>1）初始确认</w:t>
            </w:r>
          </w:p>
          <w:p w14:paraId="3063F2F6">
            <w:pPr>
              <w:pStyle w:val="4"/>
              <w:ind w:firstLine="360" w:firstLineChars="200"/>
              <w:rPr>
                <w:lang w:bidi="ar"/>
              </w:rPr>
            </w:pPr>
            <w:r>
              <w:rPr>
                <w:rFonts w:hint="eastAsia"/>
                <w:lang w:bidi="ar"/>
              </w:rPr>
              <w:t>企业外购的无形资产，初始确认时的入账价值一般等于计税基础；企业内部研发的无形资产，初始确认时的入账价值与计税基础存在一定差异，具体原因如表3-5所示。</w:t>
            </w:r>
          </w:p>
          <w:p w14:paraId="760138AE">
            <w:pPr>
              <w:pStyle w:val="4"/>
              <w:ind w:firstLine="360" w:firstLineChars="200"/>
              <w:jc w:val="center"/>
              <w:rPr>
                <w:lang w:bidi="ar"/>
              </w:rPr>
            </w:pPr>
            <w:r>
              <w:rPr>
                <w:rFonts w:hint="eastAsia"/>
                <w:lang w:bidi="ar"/>
              </w:rPr>
              <w:t>表3-5  企业内部研发无形资产的初始确认</w:t>
            </w:r>
          </w:p>
          <w:tbl>
            <w:tblPr>
              <w:tblStyle w:val="2"/>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205"/>
              <w:gridCol w:w="5428"/>
            </w:tblGrid>
            <w:tr w14:paraId="2E06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43" w:type="dxa"/>
                  <w:gridSpan w:val="2"/>
                  <w:shd w:val="clear" w:color="auto" w:fill="DAE3F4" w:themeFill="accent1" w:themeFillTint="33"/>
                  <w:vAlign w:val="center"/>
                </w:tcPr>
                <w:p w14:paraId="0C15268C">
                  <w:pPr>
                    <w:pStyle w:val="4"/>
                    <w:jc w:val="center"/>
                  </w:pPr>
                  <w:r>
                    <w:rPr>
                      <w:rFonts w:hint="eastAsia"/>
                    </w:rPr>
                    <w:t>项目</w:t>
                  </w:r>
                </w:p>
              </w:tc>
              <w:tc>
                <w:tcPr>
                  <w:tcW w:w="5428" w:type="dxa"/>
                  <w:shd w:val="clear" w:color="auto" w:fill="DAE3F4" w:themeFill="accent1" w:themeFillTint="33"/>
                  <w:vAlign w:val="center"/>
                </w:tcPr>
                <w:p w14:paraId="47312B6B">
                  <w:pPr>
                    <w:pStyle w:val="4"/>
                    <w:jc w:val="center"/>
                  </w:pPr>
                  <w:r>
                    <w:rPr>
                      <w:rFonts w:hint="eastAsia"/>
                    </w:rPr>
                    <w:t>具体规定</w:t>
                  </w:r>
                </w:p>
              </w:tc>
            </w:tr>
            <w:tr w14:paraId="5D30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43" w:type="dxa"/>
                  <w:gridSpan w:val="2"/>
                  <w:vMerge w:val="restart"/>
                  <w:shd w:val="clear" w:color="auto" w:fill="auto"/>
                  <w:vAlign w:val="center"/>
                </w:tcPr>
                <w:p w14:paraId="668D3FFD">
                  <w:pPr>
                    <w:pStyle w:val="4"/>
                    <w:jc w:val="center"/>
                  </w:pPr>
                  <w:r>
                    <w:rPr>
                      <w:rFonts w:hint="eastAsia"/>
                    </w:rPr>
                    <w:t>会计准则</w:t>
                  </w:r>
                </w:p>
              </w:tc>
              <w:tc>
                <w:tcPr>
                  <w:tcW w:w="5428" w:type="dxa"/>
                  <w:shd w:val="clear" w:color="auto" w:fill="auto"/>
                  <w:vAlign w:val="center"/>
                </w:tcPr>
                <w:p w14:paraId="43ADF31A">
                  <w:pPr>
                    <w:pStyle w:val="4"/>
                    <w:ind w:firstLine="180" w:firstLineChars="100"/>
                  </w:pPr>
                  <w:r>
                    <w:rPr>
                      <w:rFonts w:hint="eastAsia"/>
                    </w:rPr>
                    <w:t>研究阶段的支出应当费用化，计入当期损益</w:t>
                  </w:r>
                </w:p>
              </w:tc>
            </w:tr>
            <w:tr w14:paraId="24F7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43" w:type="dxa"/>
                  <w:gridSpan w:val="2"/>
                  <w:vMerge w:val="continue"/>
                  <w:shd w:val="clear" w:color="auto" w:fill="auto"/>
                  <w:vAlign w:val="center"/>
                </w:tcPr>
                <w:p w14:paraId="0275A21C">
                  <w:pPr>
                    <w:pStyle w:val="4"/>
                    <w:jc w:val="center"/>
                  </w:pPr>
                </w:p>
              </w:tc>
              <w:tc>
                <w:tcPr>
                  <w:tcW w:w="5428" w:type="dxa"/>
                  <w:shd w:val="clear" w:color="auto" w:fill="auto"/>
                  <w:vAlign w:val="center"/>
                </w:tcPr>
                <w:p w14:paraId="09DCE1D0">
                  <w:pPr>
                    <w:pStyle w:val="4"/>
                    <w:ind w:firstLine="180" w:firstLineChars="100"/>
                  </w:pPr>
                  <w:r>
                    <w:rPr>
                      <w:rFonts w:hint="eastAsia"/>
                    </w:rPr>
                    <w:t>开发阶段符合资本化条件以后的支出应当资本化，计入无形资产成本</w:t>
                  </w:r>
                </w:p>
              </w:tc>
            </w:tr>
            <w:tr w14:paraId="15D7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38" w:type="dxa"/>
                  <w:vMerge w:val="restart"/>
                  <w:shd w:val="clear" w:color="auto" w:fill="auto"/>
                  <w:vAlign w:val="center"/>
                </w:tcPr>
                <w:p w14:paraId="3ADEE8E2">
                  <w:pPr>
                    <w:pStyle w:val="4"/>
                    <w:jc w:val="center"/>
                  </w:pPr>
                  <w:r>
                    <w:rPr>
                      <w:rFonts w:hint="eastAsia"/>
                    </w:rPr>
                    <w:t>税法</w:t>
                  </w:r>
                </w:p>
              </w:tc>
              <w:tc>
                <w:tcPr>
                  <w:tcW w:w="1205" w:type="dxa"/>
                  <w:shd w:val="clear" w:color="auto" w:fill="auto"/>
                  <w:vAlign w:val="center"/>
                </w:tcPr>
                <w:p w14:paraId="4EDE7055">
                  <w:pPr>
                    <w:pStyle w:val="4"/>
                    <w:jc w:val="center"/>
                  </w:pPr>
                  <w:r>
                    <w:rPr>
                      <w:rFonts w:hint="eastAsia"/>
                    </w:rPr>
                    <w:t>一般规定</w:t>
                  </w:r>
                </w:p>
              </w:tc>
              <w:tc>
                <w:tcPr>
                  <w:tcW w:w="5428" w:type="dxa"/>
                  <w:shd w:val="clear" w:color="auto" w:fill="auto"/>
                  <w:vAlign w:val="center"/>
                </w:tcPr>
                <w:p w14:paraId="63E94A22">
                  <w:pPr>
                    <w:pStyle w:val="4"/>
                    <w:ind w:firstLine="180" w:firstLineChars="100"/>
                  </w:pPr>
                  <w:r>
                    <w:rPr>
                      <w:rFonts w:hint="eastAsia"/>
                    </w:rPr>
                    <w:t>企业内部研发的无形资产，以开发过程中符合资本化条件后至达到预定用途前发生的支出为计税基础</w:t>
                  </w:r>
                </w:p>
              </w:tc>
            </w:tr>
            <w:tr w14:paraId="2207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38" w:type="dxa"/>
                  <w:vMerge w:val="continue"/>
                  <w:shd w:val="clear" w:color="auto" w:fill="auto"/>
                  <w:vAlign w:val="center"/>
                </w:tcPr>
                <w:p w14:paraId="2FB75ABB">
                  <w:pPr>
                    <w:pStyle w:val="4"/>
                    <w:jc w:val="center"/>
                  </w:pPr>
                </w:p>
              </w:tc>
              <w:tc>
                <w:tcPr>
                  <w:tcW w:w="1205" w:type="dxa"/>
                  <w:shd w:val="clear" w:color="auto" w:fill="auto"/>
                  <w:vAlign w:val="center"/>
                </w:tcPr>
                <w:p w14:paraId="4BD38227">
                  <w:pPr>
                    <w:pStyle w:val="4"/>
                    <w:spacing w:before="0"/>
                    <w:ind w:firstLine="180" w:firstLineChars="100"/>
                  </w:pPr>
                  <w:r>
                    <w:rPr>
                      <w:rFonts w:hint="eastAsia"/>
                    </w:rPr>
                    <w:t>研发费用加计扣除</w:t>
                  </w:r>
                </w:p>
              </w:tc>
              <w:tc>
                <w:tcPr>
                  <w:tcW w:w="5428" w:type="dxa"/>
                  <w:shd w:val="clear" w:color="auto" w:fill="auto"/>
                  <w:vAlign w:val="center"/>
                </w:tcPr>
                <w:p w14:paraId="0D4EE1FF">
                  <w:pPr>
                    <w:pStyle w:val="4"/>
                    <w:ind w:firstLine="180" w:firstLineChars="100"/>
                  </w:pPr>
                  <w:r>
                    <w:rPr>
                      <w:rFonts w:hint="eastAsia"/>
                    </w:rPr>
                    <w:t>企业为开发新技术、新产品和新工艺发生的研究开发费用，未形成无形资产计入当期损益的，在按照规定据实扣除的基础上，按照研发费用的</w:t>
                  </w:r>
                  <w:r>
                    <w:t>100%</w:t>
                  </w:r>
                  <w:r>
                    <w:rPr>
                      <w:rFonts w:hint="eastAsia"/>
                    </w:rPr>
                    <w:t>加计扣除；形成无形资产的，按照无形资产成本的</w:t>
                  </w:r>
                  <w:r>
                    <w:t>200</w:t>
                  </w:r>
                  <w:r>
                    <w:rPr>
                      <w:rFonts w:hint="eastAsia"/>
                    </w:rPr>
                    <w:t>%摊销</w:t>
                  </w:r>
                </w:p>
              </w:tc>
            </w:tr>
          </w:tbl>
          <w:p w14:paraId="1CB5B474">
            <w:pPr>
              <w:pStyle w:val="4"/>
              <w:shd w:val="clear" w:color="auto" w:fill="FDF3ED"/>
              <w:ind w:firstLine="360" w:firstLineChars="200"/>
              <w:rPr>
                <w:rFonts w:ascii="MS Mincho" w:hAnsi="MS Mincho" w:cs="MS Mincho"/>
                <w:b/>
              </w:rPr>
            </w:pPr>
            <w:r>
              <w:rPr>
                <w:rFonts w:hint="eastAsia"/>
                <w:b/>
              </w:rPr>
              <w:t>【课堂互动】</w:t>
            </w:r>
          </w:p>
          <w:p w14:paraId="74B2690B">
            <w:pPr>
              <w:pStyle w:val="4"/>
              <w:shd w:val="clear" w:color="auto" w:fill="FDF3ED"/>
              <w:ind w:firstLine="360" w:firstLineChars="200"/>
              <w:rPr>
                <w:b/>
              </w:rPr>
            </w:pPr>
            <w:r>
              <w:rPr>
                <w:rFonts w:ascii="MS Mincho" w:hAnsi="MS Mincho" w:cs="MS Mincho"/>
                <w:b/>
              </w:rPr>
              <w:t>✈</w:t>
            </w:r>
            <w:r>
              <w:rPr>
                <w:rFonts w:hint="eastAsia"/>
                <w:b/>
              </w:rPr>
              <w:t>【教师】提出问题</w:t>
            </w:r>
          </w:p>
          <w:p w14:paraId="15DAC4E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研发费用加计扣除优惠政策在促进企业科技创新、推动产业结构升级、建设创新型国家等方面发挥了积极引导作用。在全面深化改革的今天，我国把创新摆在国家发展全局的重要位置。作为一名财税人员，你认为应当从哪些方面进行创新？和同学讨论，说一说自己的看法。</w:t>
            </w:r>
          </w:p>
          <w:p w14:paraId="284786E9">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【学生】思考、回答问题</w:t>
            </w:r>
          </w:p>
          <w:p w14:paraId="4FA67874">
            <w:pPr>
              <w:pStyle w:val="4"/>
              <w:shd w:val="clear" w:color="auto" w:fill="FDF3ED"/>
              <w:ind w:firstLine="360" w:firstLineChars="200"/>
              <w:rPr>
                <w:rFonts w:ascii="微软雅黑" w:hAnsi="微软雅黑"/>
                <w:b/>
                <w:color w:val="833C0B"/>
              </w:rPr>
            </w:pPr>
            <w:r>
              <w:rPr>
                <w:rFonts w:ascii="MS Mincho" w:hAnsi="MS Mincho" w:cs="MS Mincho"/>
                <w:b/>
              </w:rPr>
              <w:t>✈</w:t>
            </w:r>
            <w:r>
              <w:rPr>
                <w:rFonts w:hint="eastAsia"/>
                <w:b/>
              </w:rPr>
              <w:t>【教师】评价并总结学生的回答</w:t>
            </w:r>
          </w:p>
          <w:p w14:paraId="3B5CE6A9">
            <w:pPr>
              <w:pStyle w:val="4"/>
              <w:ind w:firstLine="360" w:firstLineChars="200"/>
              <w:rPr>
                <w:lang w:bidi="ar"/>
              </w:rPr>
            </w:pPr>
            <w:r>
              <w:rPr>
                <w:rFonts w:hint="eastAsia"/>
                <w:lang w:bidi="ar"/>
              </w:rPr>
              <w:t>2）后续计量</w:t>
            </w:r>
          </w:p>
          <w:p w14:paraId="638BCA69">
            <w:pPr>
              <w:pStyle w:val="4"/>
              <w:ind w:firstLine="360" w:firstLineChars="200"/>
              <w:rPr>
                <w:lang w:bidi="ar"/>
              </w:rPr>
            </w:pPr>
            <w:r>
              <w:rPr>
                <w:rFonts w:hint="eastAsia"/>
                <w:lang w:bidi="ar"/>
              </w:rPr>
              <w:t>无形资产在后续计量过程中，由于会计准则规定与税法规定在累计摊销及减值准备的计提等方面的处理方式不同，其账面价值与计税基础会产生差异。无形资产在后续计量过程中账面价值与计税基础产生差异的原因具体如表3-6所示。</w:t>
            </w:r>
          </w:p>
          <w:p w14:paraId="694B3758">
            <w:pPr>
              <w:pStyle w:val="4"/>
              <w:ind w:firstLine="360" w:firstLineChars="200"/>
              <w:jc w:val="center"/>
              <w:rPr>
                <w:lang w:bidi="ar"/>
              </w:rPr>
            </w:pPr>
            <w:r>
              <w:rPr>
                <w:rFonts w:hint="eastAsia"/>
                <w:lang w:bidi="ar"/>
              </w:rPr>
              <w:t>表3-6  无形资产在后续计量过程中账面价值与计税基础产生差异的原因</w:t>
            </w:r>
          </w:p>
          <w:tbl>
            <w:tblPr>
              <w:tblStyle w:val="2"/>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3124"/>
              <w:gridCol w:w="3255"/>
            </w:tblGrid>
            <w:tr w14:paraId="556F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9" w:type="dxa"/>
                  <w:shd w:val="clear" w:color="auto" w:fill="DAE3F4" w:themeFill="accent1" w:themeFillTint="33"/>
                  <w:vAlign w:val="center"/>
                </w:tcPr>
                <w:p w14:paraId="39502C5F">
                  <w:pPr>
                    <w:pStyle w:val="4"/>
                    <w:jc w:val="center"/>
                  </w:pPr>
                  <w:r>
                    <w:rPr>
                      <w:rFonts w:hint="eastAsia"/>
                    </w:rPr>
                    <w:t>原因</w:t>
                  </w:r>
                </w:p>
              </w:tc>
              <w:tc>
                <w:tcPr>
                  <w:tcW w:w="3124" w:type="dxa"/>
                  <w:shd w:val="clear" w:color="auto" w:fill="DAE3F4" w:themeFill="accent1" w:themeFillTint="33"/>
                  <w:vAlign w:val="center"/>
                </w:tcPr>
                <w:p w14:paraId="218BE02F">
                  <w:pPr>
                    <w:pStyle w:val="4"/>
                    <w:jc w:val="center"/>
                  </w:pPr>
                  <w:r>
                    <w:rPr>
                      <w:rFonts w:hint="eastAsia"/>
                    </w:rPr>
                    <w:t>会计准则规定</w:t>
                  </w:r>
                </w:p>
              </w:tc>
              <w:tc>
                <w:tcPr>
                  <w:tcW w:w="3255" w:type="dxa"/>
                  <w:shd w:val="clear" w:color="auto" w:fill="DAE3F4" w:themeFill="accent1" w:themeFillTint="33"/>
                  <w:vAlign w:val="center"/>
                </w:tcPr>
                <w:p w14:paraId="7EA9F58F">
                  <w:pPr>
                    <w:pStyle w:val="4"/>
                    <w:jc w:val="center"/>
                  </w:pPr>
                  <w:r>
                    <w:rPr>
                      <w:rFonts w:hint="eastAsia"/>
                    </w:rPr>
                    <w:t>税法规定</w:t>
                  </w:r>
                </w:p>
              </w:tc>
            </w:tr>
            <w:tr w14:paraId="0EB5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9" w:type="dxa"/>
                  <w:vMerge w:val="restart"/>
                  <w:shd w:val="clear" w:color="auto" w:fill="auto"/>
                  <w:vAlign w:val="center"/>
                </w:tcPr>
                <w:p w14:paraId="59FB14CC">
                  <w:pPr>
                    <w:pStyle w:val="4"/>
                    <w:jc w:val="center"/>
                  </w:pPr>
                  <w:r>
                    <w:rPr>
                      <w:rFonts w:hint="eastAsia"/>
                    </w:rPr>
                    <w:t>累计摊销</w:t>
                  </w:r>
                </w:p>
              </w:tc>
              <w:tc>
                <w:tcPr>
                  <w:tcW w:w="3124" w:type="dxa"/>
                  <w:shd w:val="clear" w:color="auto" w:fill="auto"/>
                  <w:vAlign w:val="center"/>
                </w:tcPr>
                <w:p w14:paraId="2436539F">
                  <w:pPr>
                    <w:pStyle w:val="4"/>
                    <w:spacing w:after="0"/>
                    <w:ind w:firstLine="180" w:firstLineChars="100"/>
                  </w:pPr>
                  <w:r>
                    <w:rPr>
                      <w:rFonts w:hint="eastAsia"/>
                    </w:rPr>
                    <w:t>对使用寿命有限的无形资产，企业应当在使用寿命内合理摊销。</w:t>
                  </w:r>
                </w:p>
                <w:p w14:paraId="276EDCE1">
                  <w:pPr>
                    <w:pStyle w:val="4"/>
                    <w:spacing w:before="0"/>
                    <w:ind w:firstLine="180" w:firstLineChars="100"/>
                  </w:pPr>
                  <w:r>
                    <w:rPr>
                      <w:rFonts w:hint="eastAsia"/>
                    </w:rPr>
                    <w:t>摊销方法应当反映与该项无形资产有关经济利益的预期实现方式</w:t>
                  </w:r>
                </w:p>
              </w:tc>
              <w:tc>
                <w:tcPr>
                  <w:tcW w:w="3255" w:type="dxa"/>
                  <w:vMerge w:val="restart"/>
                  <w:shd w:val="clear" w:color="auto" w:fill="auto"/>
                  <w:vAlign w:val="center"/>
                </w:tcPr>
                <w:p w14:paraId="2F5F8B92">
                  <w:pPr>
                    <w:pStyle w:val="4"/>
                    <w:spacing w:after="0"/>
                    <w:ind w:firstLine="180" w:firstLineChars="100"/>
                  </w:pPr>
                  <w:r>
                    <w:rPr>
                      <w:rFonts w:hint="eastAsia"/>
                    </w:rPr>
                    <w:t>（1）无形资产按照直线法计算的摊销费用，准予扣除。</w:t>
                  </w:r>
                </w:p>
                <w:p w14:paraId="267CA1B3">
                  <w:pPr>
                    <w:pStyle w:val="4"/>
                    <w:spacing w:before="0" w:after="0"/>
                    <w:ind w:firstLine="180" w:firstLineChars="100"/>
                  </w:pPr>
                  <w:r>
                    <w:rPr>
                      <w:rFonts w:hint="eastAsia"/>
                    </w:rPr>
                    <w:t>（2）</w:t>
                  </w:r>
                  <w:r>
                    <w:rPr>
                      <w:rFonts w:hint="eastAsia"/>
                      <w:spacing w:val="-2"/>
                    </w:rPr>
                    <w:t>无形资产的摊销年限不得低于10年。</w:t>
                  </w:r>
                </w:p>
                <w:p w14:paraId="464B7935">
                  <w:pPr>
                    <w:pStyle w:val="4"/>
                    <w:spacing w:before="0" w:after="0"/>
                    <w:ind w:firstLine="180" w:firstLineChars="100"/>
                  </w:pPr>
                  <w:r>
                    <w:rPr>
                      <w:rFonts w:hint="eastAsia"/>
                    </w:rPr>
                    <w:t>（3）作为投资或者受让的无形资产，有关法律规定或者合同约定了使用年限的，可以按照规定或者约定的使用年限分期摊销。</w:t>
                  </w:r>
                </w:p>
                <w:p w14:paraId="4C0ACF59">
                  <w:pPr>
                    <w:pStyle w:val="4"/>
                    <w:spacing w:before="0"/>
                    <w:ind w:firstLine="180" w:firstLineChars="100"/>
                  </w:pPr>
                  <w:r>
                    <w:rPr>
                      <w:rFonts w:hint="eastAsia"/>
                    </w:rPr>
                    <w:t>（4）外购商誉的支出，在企业整体转让或者清算时，准予扣除</w:t>
                  </w:r>
                </w:p>
              </w:tc>
            </w:tr>
            <w:tr w14:paraId="09B8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9" w:type="dxa"/>
                  <w:vMerge w:val="continue"/>
                  <w:shd w:val="clear" w:color="auto" w:fill="auto"/>
                  <w:vAlign w:val="center"/>
                </w:tcPr>
                <w:p w14:paraId="7D2BF742">
                  <w:pPr>
                    <w:pStyle w:val="4"/>
                    <w:jc w:val="center"/>
                  </w:pPr>
                </w:p>
              </w:tc>
              <w:tc>
                <w:tcPr>
                  <w:tcW w:w="3124" w:type="dxa"/>
                  <w:shd w:val="clear" w:color="auto" w:fill="auto"/>
                  <w:vAlign w:val="center"/>
                </w:tcPr>
                <w:p w14:paraId="5790A457">
                  <w:pPr>
                    <w:pStyle w:val="4"/>
                    <w:ind w:firstLine="180" w:firstLineChars="100"/>
                  </w:pPr>
                  <w:r>
                    <w:rPr>
                      <w:rFonts w:hint="eastAsia"/>
                    </w:rPr>
                    <w:t>对使用寿命不确定的无形资产，企业可以不进行摊销，但在会计期末应进行减值测试</w:t>
                  </w:r>
                </w:p>
              </w:tc>
              <w:tc>
                <w:tcPr>
                  <w:tcW w:w="3255" w:type="dxa"/>
                  <w:vMerge w:val="continue"/>
                  <w:shd w:val="clear" w:color="auto" w:fill="auto"/>
                  <w:vAlign w:val="center"/>
                </w:tcPr>
                <w:p w14:paraId="0545637F">
                  <w:pPr>
                    <w:pStyle w:val="4"/>
                    <w:spacing w:before="0"/>
                    <w:ind w:firstLine="180" w:firstLineChars="100"/>
                  </w:pPr>
                </w:p>
              </w:tc>
            </w:tr>
            <w:tr w14:paraId="29E1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9" w:type="dxa"/>
                  <w:shd w:val="clear" w:color="auto" w:fill="auto"/>
                  <w:vAlign w:val="center"/>
                </w:tcPr>
                <w:p w14:paraId="18EE424B">
                  <w:pPr>
                    <w:pStyle w:val="4"/>
                    <w:jc w:val="center"/>
                  </w:pPr>
                  <w:r>
                    <w:rPr>
                      <w:rFonts w:hint="eastAsia"/>
                    </w:rPr>
                    <w:t>计提减值准备</w:t>
                  </w:r>
                </w:p>
              </w:tc>
              <w:tc>
                <w:tcPr>
                  <w:tcW w:w="3124" w:type="dxa"/>
                  <w:shd w:val="clear" w:color="auto" w:fill="auto"/>
                  <w:vAlign w:val="center"/>
                </w:tcPr>
                <w:p w14:paraId="162EF644">
                  <w:pPr>
                    <w:pStyle w:val="4"/>
                    <w:ind w:firstLine="180" w:firstLineChars="100"/>
                  </w:pPr>
                  <w:r>
                    <w:rPr>
                      <w:rFonts w:hint="eastAsia"/>
                    </w:rPr>
                    <w:t>企业可以计提无形资产减值准备，计提减值准备后的无形资产账面价值减少</w:t>
                  </w:r>
                </w:p>
              </w:tc>
              <w:tc>
                <w:tcPr>
                  <w:tcW w:w="3255" w:type="dxa"/>
                  <w:shd w:val="clear" w:color="auto" w:fill="auto"/>
                  <w:vAlign w:val="center"/>
                </w:tcPr>
                <w:p w14:paraId="4D5DDAB7">
                  <w:pPr>
                    <w:pStyle w:val="4"/>
                    <w:ind w:firstLine="180" w:firstLineChars="100"/>
                  </w:pPr>
                  <w:r>
                    <w:rPr>
                      <w:rFonts w:hint="eastAsia"/>
                    </w:rPr>
                    <w:t>计提的减值准备不允许税前扣除，计税基础不会随减值准备的计提发生变化</w:t>
                  </w:r>
                </w:p>
              </w:tc>
            </w:tr>
          </w:tbl>
          <w:p w14:paraId="5651FAA6">
            <w:pPr>
              <w:pStyle w:val="4"/>
              <w:ind w:firstLine="360" w:firstLineChars="200"/>
              <w:rPr>
                <w:rFonts w:hint="eastAsia"/>
                <w:b/>
                <w:bCs/>
                <w:lang w:val="en-US" w:eastAsia="zh-CN" w:bidi="ar"/>
              </w:rPr>
            </w:pPr>
          </w:p>
          <w:p w14:paraId="78DC3D81">
            <w:pPr>
              <w:pStyle w:val="4"/>
              <w:numPr>
                <w:ilvl w:val="0"/>
                <w:numId w:val="1"/>
              </w:numPr>
              <w:ind w:firstLine="360" w:firstLineChars="200"/>
              <w:rPr>
                <w:rFonts w:hint="eastAsia"/>
                <w:b/>
                <w:bCs/>
                <w:lang w:val="en-US" w:eastAsia="zh-CN" w:bidi="ar"/>
              </w:rPr>
            </w:pPr>
            <w:r>
              <w:rPr>
                <w:rFonts w:hint="eastAsia"/>
                <w:b/>
                <w:bCs/>
                <w:lang w:val="en-US" w:eastAsia="zh-CN" w:bidi="ar"/>
              </w:rPr>
              <w:t>生产性生物资产</w:t>
            </w:r>
          </w:p>
          <w:p w14:paraId="0891B630">
            <w:pPr>
              <w:pStyle w:val="4"/>
              <w:ind w:firstLine="360" w:firstLineChars="200"/>
              <w:rPr>
                <w:rFonts w:hint="default"/>
                <w:lang w:val="en-US" w:eastAsia="zh-CN" w:bidi="ar"/>
              </w:rPr>
            </w:pPr>
            <w:r>
              <w:rPr>
                <w:rFonts w:hint="eastAsia"/>
                <w:lang w:val="en-US" w:eastAsia="zh-CN" w:bidi="ar"/>
              </w:rPr>
              <w:t>（一）生产性生物资产的计税基础</w:t>
            </w:r>
          </w:p>
          <w:p w14:paraId="3A5AE2F6">
            <w:pPr>
              <w:pStyle w:val="4"/>
              <w:ind w:firstLine="360" w:firstLineChars="200"/>
              <w:rPr>
                <w:rFonts w:hint="eastAsia"/>
                <w:lang w:val="en-US" w:eastAsia="zh-CN" w:bidi="ar"/>
              </w:rPr>
            </w:pPr>
            <w:r>
              <w:rPr>
                <w:rFonts w:hint="eastAsia"/>
                <w:lang w:val="en-US" w:eastAsia="zh-CN" w:bidi="ar"/>
              </w:rPr>
              <w:t>1.外购的，以买价和支付的相关税费为计税基础；</w:t>
            </w:r>
          </w:p>
          <w:p w14:paraId="454EC417">
            <w:pPr>
              <w:pStyle w:val="4"/>
              <w:ind w:firstLine="360" w:firstLineChars="200"/>
              <w:rPr>
                <w:rFonts w:hint="eastAsia"/>
                <w:lang w:val="en-US" w:eastAsia="zh-CN" w:bidi="ar"/>
              </w:rPr>
            </w:pPr>
            <w:r>
              <w:rPr>
                <w:rFonts w:hint="eastAsia"/>
                <w:lang w:val="en-US" w:eastAsia="zh-CN" w:bidi="ar"/>
              </w:rPr>
              <w:t>2.通过捐赠、投资、非货币性资产交换、债务重组等方式取得的，以该资产公允价值和支付的相关税费为计税基础。</w:t>
            </w:r>
          </w:p>
          <w:p w14:paraId="26FCE49C">
            <w:pPr>
              <w:pStyle w:val="4"/>
              <w:ind w:firstLine="360" w:firstLineChars="200"/>
              <w:rPr>
                <w:rFonts w:hint="eastAsia"/>
                <w:lang w:val="en-US" w:eastAsia="zh-CN" w:bidi="ar"/>
              </w:rPr>
            </w:pPr>
            <w:r>
              <w:rPr>
                <w:rFonts w:hint="eastAsia"/>
                <w:lang w:val="en-US" w:eastAsia="zh-CN" w:bidi="ar"/>
              </w:rPr>
              <w:t>（二）生产性生物资产的折旧方法和折旧年限</w:t>
            </w:r>
          </w:p>
          <w:p w14:paraId="7C140FD3">
            <w:pPr>
              <w:pStyle w:val="4"/>
              <w:ind w:firstLine="360" w:firstLineChars="200"/>
              <w:rPr>
                <w:rFonts w:hint="eastAsia"/>
                <w:lang w:val="en-US" w:eastAsia="zh-CN" w:bidi="ar"/>
              </w:rPr>
            </w:pPr>
            <w:r>
              <w:rPr>
                <w:rFonts w:hint="eastAsia"/>
                <w:lang w:val="en-US" w:eastAsia="zh-CN" w:bidi="ar"/>
              </w:rPr>
              <w:t>折旧方法：直线法</w:t>
            </w:r>
          </w:p>
          <w:p w14:paraId="7AC99886">
            <w:pPr>
              <w:pStyle w:val="4"/>
              <w:ind w:firstLine="360" w:firstLineChars="200"/>
              <w:rPr>
                <w:rFonts w:hint="eastAsia"/>
                <w:lang w:val="en-US" w:eastAsia="zh-CN" w:bidi="ar"/>
              </w:rPr>
            </w:pPr>
            <w:r>
              <w:rPr>
                <w:rFonts w:hint="eastAsia"/>
                <w:lang w:val="en-US" w:eastAsia="zh-CN" w:bidi="ar"/>
              </w:rPr>
              <w:t>折旧年限：</w:t>
            </w:r>
          </w:p>
          <w:p w14:paraId="15AD93C5">
            <w:pPr>
              <w:pStyle w:val="4"/>
              <w:ind w:firstLine="360" w:firstLineChars="200"/>
              <w:rPr>
                <w:rFonts w:hint="eastAsia"/>
                <w:lang w:val="en-US" w:eastAsia="zh-CN" w:bidi="ar"/>
              </w:rPr>
            </w:pPr>
            <w:r>
              <w:rPr>
                <w:rFonts w:hint="eastAsia"/>
                <w:lang w:val="en-US" w:eastAsia="zh-CN" w:bidi="ar"/>
              </w:rPr>
              <w:t>林木类10年；畜牧类3年。</w:t>
            </w:r>
          </w:p>
          <w:p w14:paraId="0D931BB0">
            <w:pPr>
              <w:pStyle w:val="4"/>
              <w:numPr>
                <w:ilvl w:val="0"/>
                <w:numId w:val="0"/>
              </w:numPr>
              <w:ind w:leftChars="200"/>
              <w:rPr>
                <w:rFonts w:hint="default"/>
                <w:lang w:val="en-US" w:eastAsia="zh-CN" w:bidi="ar"/>
              </w:rPr>
            </w:pPr>
            <w:r>
              <w:rPr>
                <w:rFonts w:hint="eastAsia"/>
                <w:b/>
                <w:bCs/>
                <w:lang w:val="en-US" w:eastAsia="zh-CN" w:bidi="ar"/>
              </w:rPr>
              <w:t>四、长期待摊费用</w:t>
            </w:r>
          </w:p>
          <w:p w14:paraId="5C915587">
            <w:pPr>
              <w:pStyle w:val="4"/>
              <w:numPr>
                <w:ilvl w:val="0"/>
                <w:numId w:val="0"/>
              </w:numPr>
              <w:ind w:leftChars="200"/>
              <w:rPr>
                <w:rFonts w:hint="eastAsia"/>
                <w:b/>
                <w:bCs/>
                <w:lang w:val="en-US" w:eastAsia="zh-CN" w:bidi="ar"/>
              </w:rPr>
            </w:pPr>
            <w:r>
              <w:rPr>
                <w:rFonts w:hint="eastAsia"/>
                <w:b/>
                <w:bCs/>
                <w:lang w:val="en-US" w:eastAsia="zh-CN" w:bidi="ar"/>
              </w:rPr>
              <w:t>五、存货</w:t>
            </w:r>
          </w:p>
          <w:p w14:paraId="2E304EE8">
            <w:pPr>
              <w:pStyle w:val="4"/>
              <w:numPr>
                <w:ilvl w:val="0"/>
                <w:numId w:val="0"/>
              </w:numPr>
              <w:ind w:leftChars="200"/>
              <w:rPr>
                <w:rFonts w:hint="eastAsia"/>
                <w:b w:val="0"/>
                <w:bCs w:val="0"/>
                <w:lang w:val="en-US" w:eastAsia="zh-CN" w:bidi="ar"/>
              </w:rPr>
            </w:pPr>
            <w:r>
              <w:rPr>
                <w:rFonts w:hint="eastAsia"/>
                <w:b w:val="0"/>
                <w:bCs w:val="0"/>
                <w:lang w:val="en-US" w:eastAsia="zh-CN" w:bidi="ar"/>
              </w:rPr>
              <w:t>（一）存计税基础</w:t>
            </w:r>
          </w:p>
          <w:p w14:paraId="4642778C">
            <w:pPr>
              <w:pStyle w:val="4"/>
              <w:numPr>
                <w:ilvl w:val="0"/>
                <w:numId w:val="0"/>
              </w:numPr>
              <w:ind w:leftChars="200"/>
              <w:rPr>
                <w:rFonts w:hint="default"/>
                <w:b w:val="0"/>
                <w:bCs w:val="0"/>
                <w:lang w:val="en-US" w:eastAsia="zh-CN" w:bidi="ar"/>
              </w:rPr>
            </w:pPr>
            <w:r>
              <w:rPr>
                <w:rFonts w:hint="eastAsia"/>
                <w:b w:val="0"/>
                <w:bCs w:val="0"/>
                <w:lang w:val="en-US" w:eastAsia="zh-CN" w:bidi="ar"/>
              </w:rPr>
              <w:t>（二）存货成本的计算方法</w:t>
            </w:r>
          </w:p>
          <w:p w14:paraId="30456A8A">
            <w:pPr>
              <w:pStyle w:val="4"/>
              <w:ind w:firstLine="360" w:firstLineChars="200"/>
              <w:rPr>
                <w:b/>
                <w:bCs/>
                <w:lang w:bidi="ar"/>
              </w:rPr>
            </w:pPr>
            <w:r>
              <w:rPr>
                <w:rFonts w:hint="eastAsia"/>
                <w:b/>
                <w:bCs/>
                <w:lang w:val="en-US" w:eastAsia="zh-CN" w:bidi="ar"/>
              </w:rPr>
              <w:t>六、</w:t>
            </w:r>
            <w:r>
              <w:rPr>
                <w:rFonts w:hint="eastAsia"/>
                <w:b/>
                <w:bCs/>
                <w:lang w:bidi="ar"/>
              </w:rPr>
              <w:t>以公允价值计量且变动计入当期损益的金融资产</w:t>
            </w:r>
          </w:p>
          <w:p w14:paraId="10737884">
            <w:pPr>
              <w:pStyle w:val="4"/>
              <w:ind w:firstLine="360" w:firstLineChars="200"/>
              <w:rPr>
                <w:lang w:bidi="ar"/>
              </w:rPr>
            </w:pPr>
            <w:r>
              <w:rPr>
                <w:rFonts w:hint="eastAsia"/>
                <w:lang w:bidi="ar"/>
              </w:rPr>
              <w:t>会计准则规定，对于以公允价值计量且变动计入当期损益的金融资产，其在某一会计期末的账面价值为公允价值。税法规定，按照会计准则确认的公允价值变动损益在计税时不予考虑，即有关金融资产在某一会计期末的计税基础为其取得成本。</w:t>
            </w:r>
          </w:p>
          <w:p w14:paraId="7F96B969">
            <w:pPr>
              <w:pStyle w:val="4"/>
              <w:ind w:firstLine="360" w:firstLineChars="200"/>
              <w:rPr>
                <w:b/>
                <w:bCs/>
                <w:lang w:bidi="ar"/>
              </w:rPr>
            </w:pPr>
            <w:r>
              <w:rPr>
                <w:rFonts w:hint="eastAsia"/>
                <w:b/>
                <w:bCs/>
                <w:lang w:val="en-US" w:eastAsia="zh-CN" w:bidi="ar"/>
              </w:rPr>
              <w:t>七、</w:t>
            </w:r>
            <w:r>
              <w:rPr>
                <w:rFonts w:hint="eastAsia"/>
                <w:b/>
                <w:bCs/>
                <w:lang w:bidi="ar"/>
              </w:rPr>
              <w:t>因提供售后服务等原因确认的预计负债</w:t>
            </w:r>
          </w:p>
          <w:p w14:paraId="4B4AA98A">
            <w:pPr>
              <w:pStyle w:val="4"/>
              <w:ind w:firstLine="360" w:firstLineChars="200"/>
              <w:rPr>
                <w:lang w:bidi="ar"/>
              </w:rPr>
            </w:pPr>
            <w:r>
              <w:rPr>
                <w:rFonts w:hint="eastAsia"/>
                <w:lang w:bidi="ar"/>
              </w:rPr>
              <w:t>会计准则规定，企业应将因预计提供售后服务发生的支出在销售当期确认为费用，同时确认预计负债。如果税法规定，有关的支出在实际发生时可以全部税前扣除，则该事项产生的预计负债在期末的计税基础（账面价值减去未来期间可以扣除的金额）为零。</w:t>
            </w:r>
          </w:p>
          <w:p w14:paraId="57D7CD5F">
            <w:pPr>
              <w:pStyle w:val="4"/>
              <w:ind w:firstLine="360" w:firstLineChars="200"/>
              <w:rPr>
                <w:lang w:bidi="ar"/>
              </w:rPr>
            </w:pPr>
            <w:r>
              <w:rPr>
                <w:rFonts w:hint="eastAsia"/>
                <w:lang w:bidi="ar"/>
              </w:rPr>
              <w:t>企业因或有事项确认的预计负债，应按照税法规定确认其计税基础。某些情况下，对于因有些事项确认的预计负债，如果税法规定其支出无论是否实际发生均不允许税前扣除，即未来期间按照税法规定可予抵扣的金额为零，则其账面价值与计税基础相同。</w:t>
            </w:r>
          </w:p>
          <w:p w14:paraId="5EB80226">
            <w:pPr>
              <w:pStyle w:val="4"/>
              <w:ind w:left="-168" w:leftChars="-84" w:firstLine="360" w:firstLineChars="200"/>
              <w:rPr>
                <w:rFonts w:ascii="微软雅黑" w:hAnsi="微软雅黑"/>
                <w:b/>
                <w:color w:val="833C0B"/>
              </w:rPr>
            </w:pPr>
            <w:r>
              <w:rPr>
                <w:rFonts w:hint="eastAsia" w:ascii="微软雅黑" w:hAnsi="微软雅黑"/>
                <w:b/>
                <w:color w:val="833C0B"/>
              </w:rPr>
              <w:t>【学生】聆听、理解、记录</w:t>
            </w:r>
          </w:p>
        </w:tc>
      </w:tr>
      <w:tr w14:paraId="5EF0A35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3C31823">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2DEA0F55">
            <w:pPr>
              <w:pStyle w:val="4"/>
              <w:ind w:firstLine="180" w:firstLineChars="100"/>
              <w:rPr>
                <w:rFonts w:hint="eastAsia"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lang w:val="en-US" w:eastAsia="zh-CN"/>
              </w:rPr>
              <w:t>用间接法</w:t>
            </w:r>
            <w:r>
              <w:rPr>
                <w:rFonts w:hint="eastAsia" w:ascii="微软雅黑" w:hAnsi="微软雅黑"/>
                <w:b/>
                <w:color w:val="1F4E79"/>
              </w:rPr>
              <w:t>计算公司的企业所得税税额</w:t>
            </w:r>
          </w:p>
          <w:p w14:paraId="400A3B73">
            <w:pPr>
              <w:pStyle w:val="4"/>
              <w:ind w:left="-168" w:leftChars="-84" w:firstLine="360" w:firstLineChars="200"/>
              <w:rPr>
                <w:rFonts w:hint="eastAsia"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0BDE4D25">
            <w:pPr>
              <w:pStyle w:val="4"/>
              <w:ind w:left="200" w:leftChars="100"/>
              <w:rPr>
                <w:rFonts w:hint="eastAsia"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78E2BE39">
            <w:pPr>
              <w:pStyle w:val="4"/>
              <w:ind w:left="-168" w:leftChars="-84" w:firstLine="360" w:firstLineChars="200"/>
              <w:rPr>
                <w:rFonts w:ascii="微软雅黑" w:hAnsi="微软雅黑"/>
                <w:kern w:val="2"/>
                <w:szCs w:val="18"/>
                <w:lang w:val="zh-CN" w:eastAsia="zh-CN"/>
              </w:rPr>
            </w:pPr>
            <w:r>
              <w:rPr>
                <w:rFonts w:hint="eastAsia" w:ascii="微软雅黑" w:hAnsi="微软雅黑"/>
                <w:kern w:val="2"/>
                <w:szCs w:val="18"/>
                <w:lang w:val="en-US" w:eastAsia="zh-CN"/>
              </w:rPr>
              <w:t>（详见课件</w:t>
            </w:r>
            <w:r>
              <w:rPr>
                <w:rFonts w:ascii="微软雅黑" w:hAnsi="微软雅黑"/>
                <w:kern w:val="2"/>
                <w:szCs w:val="18"/>
                <w:lang w:val="zh-CN" w:eastAsia="zh-CN"/>
              </w:rPr>
              <w:t>）</w:t>
            </w:r>
          </w:p>
          <w:p w14:paraId="35CFDE5A">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165E45E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229673C">
            <w:pPr>
              <w:pStyle w:val="4"/>
              <w:jc w:val="center"/>
            </w:pPr>
            <w:r>
              <w:rPr>
                <w:rFonts w:hint="eastAsia" w:ascii="微软雅黑" w:hAnsi="微软雅黑"/>
                <w:b/>
              </w:rPr>
              <w:t>课堂小结</w:t>
            </w:r>
          </w:p>
        </w:tc>
        <w:tc>
          <w:tcPr>
            <w:tcW w:w="8363" w:type="dxa"/>
            <w:gridSpan w:val="2"/>
            <w:shd w:val="clear" w:color="auto" w:fill="FFFFFF"/>
            <w:vAlign w:val="center"/>
          </w:tcPr>
          <w:p w14:paraId="39BE407A">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6A6099F4">
            <w:pPr>
              <w:pStyle w:val="4"/>
              <w:ind w:firstLine="180" w:firstLineChars="100"/>
            </w:pPr>
            <w:r>
              <w:rPr>
                <w:rFonts w:hint="eastAsia" w:ascii="微软雅黑" w:hAnsi="微软雅黑"/>
                <w:b/>
                <w:color w:val="833C0B"/>
              </w:rPr>
              <w:t>【学生】总结回顾知识点</w:t>
            </w:r>
          </w:p>
        </w:tc>
      </w:tr>
      <w:tr w14:paraId="391CAB4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29DEF37">
            <w:pPr>
              <w:pStyle w:val="4"/>
              <w:jc w:val="center"/>
            </w:pPr>
            <w:r>
              <w:rPr>
                <w:rFonts w:hint="eastAsia" w:ascii="微软雅黑" w:hAnsi="微软雅黑"/>
                <w:b/>
              </w:rPr>
              <w:t>作业布置</w:t>
            </w:r>
          </w:p>
        </w:tc>
        <w:tc>
          <w:tcPr>
            <w:tcW w:w="8363" w:type="dxa"/>
            <w:gridSpan w:val="2"/>
            <w:shd w:val="clear" w:color="auto" w:fill="FFFFFF"/>
            <w:vAlign w:val="center"/>
          </w:tcPr>
          <w:p w14:paraId="17B9D9EE">
            <w:pPr>
              <w:pStyle w:val="4"/>
              <w:ind w:left="200" w:leftChars="100"/>
              <w:rPr>
                <w:rFonts w:ascii="微软雅黑" w:hAnsi="微软雅黑"/>
                <w:b/>
                <w:color w:val="1F4E79"/>
              </w:rPr>
            </w:pPr>
            <w:r>
              <w:rPr>
                <w:rFonts w:hint="eastAsia" w:ascii="微软雅黑" w:hAnsi="微软雅黑"/>
                <w:b/>
                <w:color w:val="1F4E79"/>
              </w:rPr>
              <w:t>【教师】布置课后作业</w:t>
            </w:r>
          </w:p>
          <w:p w14:paraId="768D7AA9">
            <w:pPr>
              <w:pStyle w:val="4"/>
              <w:ind w:firstLine="360" w:firstLineChars="200"/>
              <w:jc w:val="both"/>
            </w:pPr>
            <w:r>
              <w:rPr>
                <w:rFonts w:hint="eastAsia"/>
                <w:lang w:val="en-US" w:eastAsia="zh-CN"/>
              </w:rPr>
              <w:t>见配套习题与实训</w:t>
            </w:r>
          </w:p>
          <w:p w14:paraId="4C2196B1">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3BFD6E8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17DFB43">
            <w:pPr>
              <w:pStyle w:val="4"/>
              <w:jc w:val="center"/>
            </w:pPr>
            <w:r>
              <w:rPr>
                <w:rFonts w:hint="eastAsia" w:ascii="微软雅黑" w:hAnsi="微软雅黑"/>
                <w:b/>
              </w:rPr>
              <w:t>教学反思</w:t>
            </w:r>
          </w:p>
        </w:tc>
        <w:tc>
          <w:tcPr>
            <w:tcW w:w="8363" w:type="dxa"/>
            <w:gridSpan w:val="2"/>
            <w:shd w:val="clear" w:color="auto" w:fill="FFFFFF"/>
            <w:vAlign w:val="center"/>
          </w:tcPr>
          <w:p w14:paraId="5EFDD889">
            <w:pPr>
              <w:pStyle w:val="4"/>
              <w:ind w:firstLine="360" w:firstLineChars="200"/>
            </w:pPr>
          </w:p>
          <w:p w14:paraId="2237FBF0">
            <w:pPr>
              <w:pStyle w:val="4"/>
              <w:ind w:firstLine="360" w:firstLineChars="200"/>
            </w:pPr>
          </w:p>
          <w:p w14:paraId="23957599">
            <w:pPr>
              <w:pStyle w:val="4"/>
              <w:ind w:firstLine="360" w:firstLineChars="200"/>
            </w:pPr>
          </w:p>
          <w:p w14:paraId="00FDCBD6">
            <w:pPr>
              <w:pStyle w:val="4"/>
              <w:ind w:firstLine="360" w:firstLineChars="200"/>
            </w:pPr>
          </w:p>
        </w:tc>
      </w:tr>
    </w:tbl>
    <w:p w14:paraId="7A7B1EC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198CF1"/>
    <w:multiLevelType w:val="singleLevel"/>
    <w:tmpl w:val="CD198CF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75ACE"/>
    <w:rsid w:val="3EFA2F65"/>
    <w:rsid w:val="6C5E26A0"/>
    <w:rsid w:val="7928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2623</Words>
  <Characters>2650</Characters>
  <Lines>0</Lines>
  <Paragraphs>0</Paragraphs>
  <TotalTime>4</TotalTime>
  <ScaleCrop>false</ScaleCrop>
  <LinksUpToDate>false</LinksUpToDate>
  <CharactersWithSpaces>2662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2025-02-13T05:12:00Z</dcterms:created>
  <dc:creator>admin</dc:creator>
  <cp:lastModifiedBy>星回°</cp:lastModifiedBy>
  <dcterms:modified xsi:type="dcterms:W3CDTF">2025-03-04T10:44:13Z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A6A9758778F04099A0E9AF506331695E_12</vt:lpwstr>
  </property>
</Properties>
</file>